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tLeast"/>
        <w:ind w:firstLine="480"/>
        <w:jc w:val="center"/>
        <w:rPr>
          <w:rFonts w:ascii="微软雅黑" w:hAnsi="微软雅黑" w:eastAsia="微软雅黑"/>
          <w:color w:val="333333"/>
          <w:spacing w:val="8"/>
          <w:sz w:val="40"/>
          <w:szCs w:val="26"/>
        </w:rPr>
      </w:pPr>
      <w:r>
        <w:rPr>
          <w:rStyle w:val="5"/>
          <w:rFonts w:hint="eastAsia" w:ascii="黑体" w:hAnsi="黑体" w:eastAsia="黑体" w:cs="黑体"/>
          <w:color w:val="333333"/>
          <w:spacing w:val="8"/>
          <w:sz w:val="44"/>
          <w:szCs w:val="44"/>
        </w:rPr>
        <w:t>保障农民工工资支付条例</w:t>
      </w:r>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1"/>
          <w:szCs w:val="21"/>
        </w:rPr>
      </w:pPr>
      <w:bookmarkStart w:id="0" w:name="_GoBack"/>
      <w:bookmarkEnd w:id="0"/>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6"/>
          <w:szCs w:val="26"/>
        </w:rPr>
      </w:pPr>
      <w:r>
        <w:rPr>
          <w:rFonts w:hint="eastAsia" w:ascii="黑体" w:hAnsi="黑体" w:eastAsia="黑体" w:cs="黑体"/>
          <w:b/>
          <w:bCs/>
          <w:color w:val="333333"/>
          <w:spacing w:val="8"/>
          <w:sz w:val="21"/>
          <w:szCs w:val="21"/>
        </w:rPr>
        <w:t>第一章　总　则</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第一条　为了规范农民工工资支付行为，保障农民工按时足额获得工资，根据《</w:t>
      </w:r>
      <w:r>
        <w:rPr>
          <w:rFonts w:hint="eastAsia" w:ascii="微软雅黑" w:hAnsi="微软雅黑" w:eastAsia="微软雅黑"/>
          <w:color w:val="136EC2"/>
          <w:spacing w:val="8"/>
          <w:sz w:val="21"/>
          <w:szCs w:val="21"/>
        </w:rPr>
        <w:t>中华人民共和国劳动法</w:t>
      </w:r>
      <w:r>
        <w:rPr>
          <w:rFonts w:hint="eastAsia" w:ascii="微软雅黑" w:hAnsi="微软雅黑" w:eastAsia="微软雅黑"/>
          <w:color w:val="333333"/>
          <w:spacing w:val="8"/>
          <w:sz w:val="21"/>
          <w:szCs w:val="21"/>
        </w:rPr>
        <w:t>》及有关法律规定，制定本条例。</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第二条　保障农民工工资支付，适用本条例。</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本条例所称农民工，是指为用人单位提供劳动的农村居民。</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本条例所称工资，是指农民工为用人单位提供劳动后应当获得的劳动报酬。</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第三条　农民工有按时足额获得工资的权利。任何单位和个人不得拖欠农民工工资。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农民工应当遵守劳动纪律和职业道德，执行劳动安全卫生规程，完成劳动任务。</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乡镇人民政府、街道办事处应当加强对拖欠农民工工资矛盾的排查和调处工作，防范和化解矛盾，及时调解纠纷。</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第五条　保障农民工工资支付，应当坚持市场主体负责、政府依法监管、社会协同监督，按照源头治理、预防为主、防治结合、标本兼治的要求，依法根治拖欠农民工工资问题。</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第六条　用人单位实行农民工劳动用工实名制管理，与招用的农民工书面约定或者通过依法制定的规章制度规定工资支付标准、支付时间、支付方式等内容。</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第七条　人力资源社会保障行政部门负责保障农民工工资支付工作的组织协调、管理指导和农民工工资支付情况的监督检查，查处有关拖欠农民工工资案件。</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住房城乡建设、交通运输、水利等相关行业工程建设主管部门按照职责履行行业监管责任，督办因违法发包、转包、违法分包、挂靠、拖欠工程款等导致的拖欠农民工工资案件。</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财政部门负责政府投资资金的预算管理，根据经批准的预算按规定及时足额拨付政府投资资金。</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公安机关负责及时受理、侦办涉嫌拒不支付劳动报酬刑事案件，依法处置因农民工工资拖欠引发的社会治安案件。</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司法行政、自然资源、人民银行、审计、国有资产管理、税务、市场监管、金融监管等部门，按照职责做好与保障农民工工资支付相关的工作。</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第八条　工会、共产主义青年团、妇女联合会、残疾人联合会等组织按照职责依法维护农民工获得工资的权利。</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第十条　被拖欠工资的农民工有权依法投诉，或者申请劳动争议调解仲裁和提起诉讼。</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任何单位和个人对拖欠农民工工资的行为，有权向人力资源社会保障行政部门或者其他有关部门举报。</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1"/>
          <w:szCs w:val="21"/>
        </w:rPr>
      </w:pPr>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1"/>
          <w:szCs w:val="21"/>
        </w:rPr>
      </w:pPr>
      <w:r>
        <w:rPr>
          <w:rFonts w:hint="eastAsia" w:ascii="黑体" w:hAnsi="黑体" w:eastAsia="黑体" w:cs="黑体"/>
          <w:b/>
          <w:bCs/>
          <w:color w:val="333333"/>
          <w:spacing w:val="8"/>
          <w:sz w:val="21"/>
          <w:szCs w:val="21"/>
        </w:rPr>
        <w:t>第二章　工资支付形式与周期</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第十一条　农民工工资应当以货币形式，通过银行转账或者现金支付给农民工本人，不得以实物或者有价证券等其他形式替代。</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第十二条　用人单位应当按照与农民工书面约定或者依法制定的规章制度规定的工资支付周期和具体支付日期足额支付工资。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第十三条　实行月、周、日、小时工资制的，按照月、周、日、小时为周期支付工资；实行计件工资制的，工资支付周期由双方依法约定。</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第十四条　用人单位与农民工书面约定或者依法制定的规章制度规定的具体支付日期，可以在农民工提供劳动的当期或者次期。具体支付日期遇法定节假日或者休息日的，应当在法定节假日或者休息日前支付。</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用人单位因不可抗力未能在支付日期支付工资的，应当在不可抗力消除后及时支付。</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第十五条　用人单位应当按照工资支付周期编制书面工资支付台账，并至少保存</w:t>
      </w:r>
      <w:r>
        <w:rPr>
          <w:rFonts w:ascii="Arial" w:hAnsi="Arial" w:eastAsia="微软雅黑" w:cs="Arial"/>
          <w:color w:val="333333"/>
          <w:spacing w:val="8"/>
          <w:sz w:val="21"/>
          <w:szCs w:val="21"/>
        </w:rPr>
        <w:t>3</w:t>
      </w:r>
      <w:r>
        <w:rPr>
          <w:rFonts w:hint="eastAsia" w:ascii="微软雅黑" w:hAnsi="微软雅黑" w:eastAsia="微软雅黑"/>
          <w:color w:val="333333"/>
          <w:spacing w:val="8"/>
          <w:sz w:val="21"/>
          <w:szCs w:val="21"/>
        </w:rPr>
        <w:t>年。</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用人单位向农民工支付工资时，应当提供农民工本人的工资清单。</w:t>
      </w:r>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1"/>
          <w:szCs w:val="21"/>
        </w:rPr>
      </w:pPr>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1"/>
          <w:szCs w:val="21"/>
        </w:rPr>
      </w:pPr>
      <w:r>
        <w:rPr>
          <w:rFonts w:hint="eastAsia" w:ascii="黑体" w:hAnsi="黑体" w:eastAsia="黑体" w:cs="黑体"/>
          <w:b/>
          <w:bCs/>
          <w:color w:val="333333"/>
          <w:spacing w:val="8"/>
          <w:sz w:val="21"/>
          <w:szCs w:val="21"/>
        </w:rPr>
        <w:t>第三章　工资清偿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第十六条　用人单位拖欠农民工工资的，应当依法予以清偿。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第十七条　不具备合法经营资格的单位招用农民工，农民工已经付出劳动而未获得工资的，依照有关法律规定执行。</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第十八条　用工单位使用个人、不具备合法经营资格的单位或者未依法取得劳务派遣许可证的单位派遣的农民工，拖欠农民工工资的，由用工单位清偿，并可以依法进行追偿。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第十九条　用人单位将工作任务发包给个人或者不具备合法经营资格的单位，导致拖欠所招用农民工工资的，依照有关法律规定执行。</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用人单位允许个人、不具备合法经营资格或者未取得相应资质的单位以用人单位的名义对外经营，导致拖欠所招用农民工工资的，由用人单位清偿，并可以依法进行追偿。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第二十条　合伙企业、个人独资企业、个体经济组织等用人单位拖欠农民工工资的，应当依法予以清偿；不清偿的，由出资人依法清偿。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第二十一条　用人单位合并或者分立时，应当在实施合并或者分立前依法清偿拖欠的农民工工资；经与农民工书面协商一致的，可以由合并或者分立后承继其权利和义务的用人单位清偿。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第二十二条　用人单位被依法吊销营业执照或者登记证书、被责令关闭、被撤销或者依法解散的，应当在申请注销登记前依法清偿拖欠的农民工工资。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未依据前款规定清偿农民工工资的用人单位主要出资人，应当在注册新用人单位前清偿拖欠的农民工工资。</w:t>
      </w:r>
    </w:p>
    <w:p>
      <w:pPr>
        <w:pStyle w:val="2"/>
        <w:shd w:val="clear" w:color="auto" w:fill="FFFFFF"/>
        <w:spacing w:before="0" w:beforeAutospacing="0" w:after="0" w:afterAutospacing="0" w:line="360" w:lineRule="atLeast"/>
        <w:ind w:firstLine="3668" w:firstLineChars="1617"/>
        <w:jc w:val="both"/>
        <w:rPr>
          <w:rFonts w:hint="eastAsia" w:ascii="黑体" w:hAnsi="黑体" w:eastAsia="黑体" w:cs="黑体"/>
          <w:b/>
          <w:bCs/>
          <w:color w:val="333333"/>
          <w:spacing w:val="8"/>
          <w:sz w:val="21"/>
          <w:szCs w:val="21"/>
        </w:rPr>
      </w:pPr>
    </w:p>
    <w:p>
      <w:pPr>
        <w:pStyle w:val="2"/>
        <w:shd w:val="clear" w:color="auto" w:fill="FFFFFF"/>
        <w:spacing w:before="0" w:beforeAutospacing="0" w:after="0" w:afterAutospacing="0" w:line="360" w:lineRule="atLeast"/>
        <w:jc w:val="center"/>
        <w:rPr>
          <w:rFonts w:hint="eastAsia" w:ascii="黑体" w:hAnsi="黑体" w:eastAsia="黑体" w:cs="黑体"/>
          <w:b/>
          <w:bCs/>
          <w:color w:val="333333"/>
          <w:spacing w:val="8"/>
          <w:sz w:val="21"/>
          <w:szCs w:val="21"/>
        </w:rPr>
      </w:pPr>
      <w:r>
        <w:rPr>
          <w:rFonts w:hint="eastAsia" w:ascii="黑体" w:hAnsi="黑体" w:eastAsia="黑体" w:cs="黑体"/>
          <w:b/>
          <w:bCs/>
          <w:color w:val="333333"/>
          <w:spacing w:val="8"/>
          <w:sz w:val="21"/>
          <w:szCs w:val="21"/>
        </w:rPr>
        <w:t>第四章　工程建设领域特别规定</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第二十三条　建设单位应当有满足施工所需要的资金安排。没有满足施工所需要的资金安排的，工程建设项目不得开工建设；依法需要办理施工许可证的，相关行业工程建设主管部门不予颁发施工许可证。</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政府投资项目所需资金，应当按照国家有关规定落实到位，不得由施工单位垫资建设。</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第二十四条　建设单位应当向施工单位提供工程款支付担保。</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Pr>
          <w:rFonts w:ascii="Arial" w:hAnsi="Arial" w:eastAsia="微软雅黑" w:cs="Arial"/>
          <w:color w:val="333333"/>
          <w:spacing w:val="8"/>
          <w:sz w:val="21"/>
          <w:szCs w:val="21"/>
        </w:rPr>
        <w:t>1</w:t>
      </w:r>
      <w:r>
        <w:rPr>
          <w:rFonts w:hint="eastAsia" w:ascii="微软雅黑" w:hAnsi="微软雅黑" w:eastAsia="微软雅黑"/>
          <w:color w:val="333333"/>
          <w:spacing w:val="8"/>
          <w:sz w:val="21"/>
          <w:szCs w:val="21"/>
        </w:rPr>
        <w:t>个月。</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建设单位与施工总承包单位应当将工程施工合同保存备查。</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第二十五条　施工总承包单位与分包单位依法订立书面分包合同，应当约定工程款计量周期、工程款进度结算办法。</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第二十六条　施工总承包单位应当按照有关规定开设农民工工资专用账户，专项用于支付该工程建设项目农民工工资。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开设、使用农民工工资专用账户有关资料应当由施工总承包单位妥善保存备查。</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工程完工且未拖欠农民工工资的，施工总承包单位公示</w:t>
      </w:r>
      <w:r>
        <w:rPr>
          <w:rFonts w:ascii="Arial" w:hAnsi="Arial" w:eastAsia="微软雅黑" w:cs="Arial"/>
          <w:color w:val="333333"/>
          <w:spacing w:val="8"/>
          <w:sz w:val="21"/>
          <w:szCs w:val="21"/>
        </w:rPr>
        <w:t>30</w:t>
      </w:r>
      <w:r>
        <w:rPr>
          <w:rFonts w:hint="eastAsia" w:ascii="微软雅黑" w:hAnsi="微软雅黑" w:eastAsia="微软雅黑"/>
          <w:color w:val="333333"/>
          <w:spacing w:val="8"/>
          <w:sz w:val="21"/>
          <w:szCs w:val="21"/>
        </w:rPr>
        <w:t>日后，可以申请注销农民工工资专用账户，账户内余额归施工总承包单位所有。</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施工总承包单位应当在工程项目部配备劳资专管员，对分包单位劳动用工实施监督管理，掌握施工现场用工、考勤、工资支付等情况，审核分包单位编制的农民工工资支付表，分包单位应当予以配合。</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施工总承包单位、分包单位应当建立用工管理台账，并保存至工程完工且工资全部结清后至少</w:t>
      </w:r>
      <w:r>
        <w:rPr>
          <w:rFonts w:ascii="Arial" w:hAnsi="Arial" w:eastAsia="微软雅黑" w:cs="Arial"/>
          <w:color w:val="333333"/>
          <w:spacing w:val="8"/>
          <w:sz w:val="21"/>
          <w:szCs w:val="21"/>
        </w:rPr>
        <w:t>3</w:t>
      </w:r>
      <w:r>
        <w:rPr>
          <w:rFonts w:hint="eastAsia" w:ascii="微软雅黑" w:hAnsi="微软雅黑" w:eastAsia="微软雅黑"/>
          <w:color w:val="333333"/>
          <w:spacing w:val="8"/>
          <w:sz w:val="21"/>
          <w:szCs w:val="21"/>
        </w:rPr>
        <w:t>年。</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第二十九条　建设单位应当按照合同约定及时拨付工程款，并将人工费用及时足额拨付至农民工工资专用账户，加强对施工总承包单位按时足额支付农民工工资的监督。</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因建设单位未按照合同约定及时拨付工程款导致农民工工资拖欠的，建设单位应当以未结清的工程款为限先行垫付被拖欠的农民工工资。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第三十条　分包单位对所招用农民工的实名制管理和工资支付负直接责任。</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施工总承包单位对分包单位劳动用工和工资发放等情况进行监督。</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分包单位拖欠农民工工资的，由施工总承包单位先行清偿，再依法进行追偿。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工程建设项目转包，拖欠农民工工资的，由施工总承包单位先行清偿，再依法进行追偿。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第三十一条　工程建设领域推行分包单位农民工工资委托施工总承包单位代发制度。</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分包单位应当按月考核农民工工作量并编制工资支付表，经农民工本人签字确认后，与当月工程进度等情况一并交施工总承包单位。</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施工总承包单位根据分包单位编制的工资支付表，通过农民工工资专用账户直接将工资支付到农民工本人的银行账户，并向分包单位提供代发工资凭证。</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用于支付农民工工资的银行账户所绑定的农民工本人社会保障卡或者银行卡，用人单位或者其他人员不得以任何理由扣押或者变相扣押。</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第三十二条　施工总承包单位应当按照有关规定存储工资保证金，专项用于支付为所承包工程提供劳动的农民工被拖欠的工资。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工资保证金实行差异化存储办法，对一定时期内未发生工资拖欠的单位实行减免措施，对发生工资拖欠的单位适当提高存储比例。工资保证金可以用金融机构保函替代。</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工资保证金的存储比例、存储形式、减免措施等具体办法，由国务院人力资源社会保障行政部门会同有关部门制定。</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第三十三条　除法律另有规定外，农民工工资专用账户资金和工资保证金不得因支付为本项目提供劳动的农民工工资之外的原因被查封、冻结或者划拨。</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第三十四条　施工总承包单位应当在施工现场醒目位置设立维权信息告示牌，明示下列事项：</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（一）建设单位、施工总承包单位及所在项目部、分包单位、相关行业工程建设主管部门、劳资专管员等基本信息；</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（二）当地最低工资标准、工资支付日期等基本信息；</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（三）相关行业工程建设主管部门和劳动保障监察投诉举报电话、劳动争议调解仲裁申请渠道、法律援助申请渠道、公共法律服务热线等信息。</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第三十五条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第三十六条　建设单位或者施工总承包单位将建设工程发包或者分包给个人或者不具备合法经营资格的单位，导致拖欠农民工工资的，由建设单位或者施工总承包单位清偿。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施工单位允许其他单位和个人以施工单位的名义对外承揽建设工程，导致拖欠农民工工资的，由施工单位清偿。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第三十七条　工程建设项目违反国土空间规划、工程建设等法律法规，导致拖欠农民工工资的，由建设单位清偿。</w:t>
      </w:r>
    </w:p>
    <w:p>
      <w:pPr>
        <w:pStyle w:val="2"/>
        <w:shd w:val="clear" w:color="auto" w:fill="FFFFFF"/>
        <w:spacing w:before="0" w:beforeAutospacing="0" w:after="0" w:afterAutospacing="0" w:line="360" w:lineRule="atLeast"/>
        <w:jc w:val="center"/>
        <w:rPr>
          <w:rFonts w:hint="eastAsia" w:ascii="黑体" w:hAnsi="黑体" w:eastAsia="黑体" w:cs="黑体"/>
          <w:b/>
          <w:bCs/>
          <w:color w:val="333333"/>
          <w:spacing w:val="8"/>
          <w:sz w:val="21"/>
          <w:szCs w:val="21"/>
        </w:rPr>
      </w:pPr>
    </w:p>
    <w:p>
      <w:pPr>
        <w:pStyle w:val="2"/>
        <w:shd w:val="clear" w:color="auto" w:fill="FFFFFF"/>
        <w:spacing w:before="0" w:beforeAutospacing="0" w:after="0" w:afterAutospacing="0" w:line="360" w:lineRule="atLeast"/>
        <w:jc w:val="center"/>
        <w:rPr>
          <w:rFonts w:hint="eastAsia" w:ascii="黑体" w:hAnsi="黑体" w:eastAsia="黑体" w:cs="黑体"/>
          <w:b/>
          <w:bCs/>
          <w:color w:val="333333"/>
          <w:spacing w:val="8"/>
          <w:sz w:val="21"/>
          <w:szCs w:val="21"/>
        </w:rPr>
      </w:pPr>
      <w:r>
        <w:rPr>
          <w:rFonts w:hint="eastAsia" w:ascii="黑体" w:hAnsi="黑体" w:eastAsia="黑体" w:cs="黑体"/>
          <w:b/>
          <w:bCs/>
          <w:color w:val="333333"/>
          <w:spacing w:val="8"/>
          <w:sz w:val="21"/>
          <w:szCs w:val="21"/>
        </w:rPr>
        <w:t>第五章　监督检查</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人力资源社会保障行政部门根据水电燃气供应、物业管理、信贷、税收等反映企业生产经营相关指标的变化情况，及时监控和预警工资支付隐患并做好防范工作，市场监管、金融监管、税务等部门应当予以配合。</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第四十条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第四十一条　人力资源社会保障行政部门在查处拖欠农民工工资案件时，发生用人单位拒不配合调查、清偿责任主体及相关当事人无法联系等情形的，可以请求公安机关和其他有关部门协助处理。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人力资源社会保障行政部门发现拖欠农民工工资的违法行为涉嫌构成拒不支付劳动报酬罪的，应当按照有关规定及时移送公安机关审查并作出决定。</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第四十二条　人力资源社会保障行政部门作出责令支付被拖欠的农民工工资的决定，相关单位不支付的，可以依法申请人民法院强制执行。</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第四十三条　相关行业工程建设主管部门应当依法规范本领域建设市场秩序，对违法发包、转包、违法分包、挂靠等行为进行查处，并对导致拖欠农民工工资的违法行为及时予以制止、纠正。</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第四十四条　财政部门、审计机关和相关行业工程建设主管部门按照职责，依法对政府投资项目建设单位按照工程施工合同约定向农民工工资专用账户拨付资金情况进行监督。</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第四十五条　司法行政部门和法律援助机构应当将农民工列为法律援助的重点对象，并依法为请求支付工资的农民工提供便捷的法律援助。</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公共法律服务相关机构应当积极参与相关诉讼、咨询、调解等活动，帮助解决拖欠农民工工资问题。</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第四十六条　人力资源社会保障行政部门、相关行业工程建设主管部门和其他有关部门应当按照</w:t>
      </w:r>
      <w:r>
        <w:rPr>
          <w:rFonts w:ascii="Arial" w:hAnsi="Arial" w:eastAsia="微软雅黑" w:cs="Arial"/>
          <w:color w:val="333333"/>
          <w:spacing w:val="8"/>
          <w:sz w:val="21"/>
          <w:szCs w:val="21"/>
        </w:rPr>
        <w:t>“</w:t>
      </w:r>
      <w:r>
        <w:rPr>
          <w:rFonts w:hint="eastAsia" w:ascii="微软雅黑" w:hAnsi="微软雅黑" w:eastAsia="微软雅黑"/>
          <w:color w:val="333333"/>
          <w:spacing w:val="8"/>
          <w:sz w:val="21"/>
          <w:szCs w:val="21"/>
        </w:rPr>
        <w:t>谁执法谁普法</w:t>
      </w:r>
      <w:r>
        <w:rPr>
          <w:rFonts w:ascii="Arial" w:hAnsi="Arial" w:eastAsia="微软雅黑" w:cs="Arial"/>
          <w:color w:val="333333"/>
          <w:spacing w:val="8"/>
          <w:sz w:val="21"/>
          <w:szCs w:val="21"/>
        </w:rPr>
        <w:t>”</w:t>
      </w:r>
      <w:r>
        <w:rPr>
          <w:rFonts w:hint="eastAsia" w:ascii="微软雅黑" w:hAnsi="微软雅黑" w:eastAsia="微软雅黑"/>
          <w:color w:val="333333"/>
          <w:spacing w:val="8"/>
          <w:sz w:val="21"/>
          <w:szCs w:val="21"/>
        </w:rPr>
        <w:t>普法责任制的要求，通过以案释法等多种形式，加大对保障农民工工资支付相关法律法规的普及宣传。</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第四十七条　人力资源社会保障行政部门应当建立用人单位及相关责任人劳动保障守法诚信档案，对用人单位开展守法诚信等级评价。</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用人单位有严重拖欠农民工工资违法行为的，由人力资源社会保障行政部门向社会公布，必要时可以通过召开新闻发布会等形式向媒体公开曝光。</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第四十八条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拖欠农民工工资需要列入失信联合惩戒名单的具体情形，由国务院人力资源社会保障行政部门规定。</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第四十九条　建设单位未依法提供工程款支付担保或者政府投资项目拖欠工程款，导致拖欠农民工工资的，县级以上地方人民政府应当限制其新建项目，并记入信用记录，纳入国家信用信息系统进行公示。</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第五十条　农民工与用人单位就拖欠工资存在争议，用人单位应当提供依法由其保存的劳动合同、职工名册、工资支付台账和清单等材料；不提供的，依法承担不利后果。</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第五十一条　工会依法维护农民工工资权益，对用人单位工资支付情况进行监督；发现拖欠农民工工资的，可以要求用人单位改正，拒不改正的，可以请求人力资源社会保障行政部门和其他有关部门依法处理。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第五十二条　单位或者个人编造虚假事实或者采取非法手段讨要农民工工资，或者以拖欠农民工工资为名讨要工程款的，依法予以处理。</w:t>
      </w:r>
    </w:p>
    <w:p>
      <w:pPr>
        <w:pStyle w:val="2"/>
        <w:shd w:val="clear" w:color="auto" w:fill="FFFFFF"/>
        <w:spacing w:before="0" w:beforeAutospacing="0" w:after="0" w:afterAutospacing="0" w:line="360" w:lineRule="atLeast"/>
        <w:jc w:val="center"/>
        <w:rPr>
          <w:rFonts w:hint="eastAsia" w:ascii="黑体" w:hAnsi="黑体" w:eastAsia="黑体" w:cs="黑体"/>
          <w:b/>
          <w:bCs/>
          <w:color w:val="333333"/>
          <w:spacing w:val="8"/>
          <w:sz w:val="21"/>
          <w:szCs w:val="21"/>
        </w:rPr>
      </w:pPr>
    </w:p>
    <w:p>
      <w:pPr>
        <w:pStyle w:val="2"/>
        <w:shd w:val="clear" w:color="auto" w:fill="FFFFFF"/>
        <w:spacing w:before="0" w:beforeAutospacing="0" w:after="0" w:afterAutospacing="0" w:line="360" w:lineRule="atLeast"/>
        <w:jc w:val="center"/>
        <w:rPr>
          <w:rFonts w:hint="eastAsia" w:ascii="黑体" w:hAnsi="黑体" w:eastAsia="黑体" w:cs="黑体"/>
          <w:b/>
          <w:bCs/>
          <w:color w:val="333333"/>
          <w:spacing w:val="8"/>
          <w:sz w:val="21"/>
          <w:szCs w:val="21"/>
        </w:rPr>
      </w:pPr>
      <w:r>
        <w:rPr>
          <w:rFonts w:hint="eastAsia" w:ascii="黑体" w:hAnsi="黑体" w:eastAsia="黑体" w:cs="黑体"/>
          <w:b/>
          <w:bCs/>
          <w:color w:val="333333"/>
          <w:spacing w:val="8"/>
          <w:sz w:val="21"/>
          <w:szCs w:val="21"/>
        </w:rPr>
        <w:t>第六章　法律责任</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第五十三条　违反本条例规定拖欠农民工工资的，依照有关法律规定执行。</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第五十四条　有下列情形之一的，由人力资源社会保障行政部门责令限期改正；逾期不改正的，对单位处</w:t>
      </w:r>
      <w:r>
        <w:rPr>
          <w:rFonts w:ascii="Arial" w:hAnsi="Arial" w:eastAsia="微软雅黑" w:cs="Arial"/>
          <w:color w:val="333333"/>
          <w:spacing w:val="8"/>
          <w:sz w:val="21"/>
          <w:szCs w:val="21"/>
        </w:rPr>
        <w:t>2</w:t>
      </w:r>
      <w:r>
        <w:rPr>
          <w:rFonts w:hint="eastAsia" w:ascii="微软雅黑" w:hAnsi="微软雅黑" w:eastAsia="微软雅黑"/>
          <w:color w:val="333333"/>
          <w:spacing w:val="8"/>
          <w:sz w:val="21"/>
          <w:szCs w:val="21"/>
        </w:rPr>
        <w:t>万元以上</w:t>
      </w:r>
      <w:r>
        <w:rPr>
          <w:rFonts w:ascii="Arial" w:hAnsi="Arial" w:eastAsia="微软雅黑" w:cs="Arial"/>
          <w:color w:val="333333"/>
          <w:spacing w:val="8"/>
          <w:sz w:val="21"/>
          <w:szCs w:val="21"/>
        </w:rPr>
        <w:t>5</w:t>
      </w:r>
      <w:r>
        <w:rPr>
          <w:rFonts w:hint="eastAsia" w:ascii="微软雅黑" w:hAnsi="微软雅黑" w:eastAsia="微软雅黑"/>
          <w:color w:val="333333"/>
          <w:spacing w:val="8"/>
          <w:sz w:val="21"/>
          <w:szCs w:val="21"/>
        </w:rPr>
        <w:t>万元以下的罚款，对法定代表人或者主要负责人、直接负责的主管人员和其他直接责任人员处</w:t>
      </w:r>
      <w:r>
        <w:rPr>
          <w:rFonts w:ascii="Arial" w:hAnsi="Arial" w:eastAsia="微软雅黑" w:cs="Arial"/>
          <w:color w:val="333333"/>
          <w:spacing w:val="8"/>
          <w:sz w:val="21"/>
          <w:szCs w:val="21"/>
        </w:rPr>
        <w:t>1</w:t>
      </w:r>
      <w:r>
        <w:rPr>
          <w:rFonts w:hint="eastAsia" w:ascii="微软雅黑" w:hAnsi="微软雅黑" w:eastAsia="微软雅黑"/>
          <w:color w:val="333333"/>
          <w:spacing w:val="8"/>
          <w:sz w:val="21"/>
          <w:szCs w:val="21"/>
        </w:rPr>
        <w:t>万元以上</w:t>
      </w:r>
      <w:r>
        <w:rPr>
          <w:rFonts w:ascii="Arial" w:hAnsi="Arial" w:eastAsia="微软雅黑" w:cs="Arial"/>
          <w:color w:val="333333"/>
          <w:spacing w:val="8"/>
          <w:sz w:val="21"/>
          <w:szCs w:val="21"/>
        </w:rPr>
        <w:t>3</w:t>
      </w:r>
      <w:r>
        <w:rPr>
          <w:rFonts w:hint="eastAsia" w:ascii="微软雅黑" w:hAnsi="微软雅黑" w:eastAsia="微软雅黑"/>
          <w:color w:val="333333"/>
          <w:spacing w:val="8"/>
          <w:sz w:val="21"/>
          <w:szCs w:val="21"/>
        </w:rPr>
        <w:t>万元以下的罚款：</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（一）以实物、有价证券等形式代替货币支付农民工工资；</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（二）未编制工资支付台账并依法保存，或者未向农民工提供工资清单；</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（三）扣押或者变相扣押用于支付农民工工资的银行账户所绑定的农民工本人社会保障卡或者银行卡。</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第五十五条　有下列情形之一的，由人力资源社会保障行政部门、相关行业工程建设主管部门按照职责责令限期改正；逾期不改正的，责令项目停工，并处</w:t>
      </w:r>
      <w:r>
        <w:rPr>
          <w:rFonts w:ascii="Arial" w:hAnsi="Arial" w:eastAsia="微软雅黑" w:cs="Arial"/>
          <w:color w:val="333333"/>
          <w:spacing w:val="8"/>
          <w:sz w:val="21"/>
          <w:szCs w:val="21"/>
        </w:rPr>
        <w:t>5</w:t>
      </w:r>
      <w:r>
        <w:rPr>
          <w:rFonts w:hint="eastAsia" w:ascii="微软雅黑" w:hAnsi="微软雅黑" w:eastAsia="微软雅黑"/>
          <w:color w:val="333333"/>
          <w:spacing w:val="8"/>
          <w:sz w:val="21"/>
          <w:szCs w:val="21"/>
        </w:rPr>
        <w:t>万元以上</w:t>
      </w:r>
      <w:r>
        <w:rPr>
          <w:rFonts w:ascii="Arial" w:hAnsi="Arial" w:eastAsia="微软雅黑" w:cs="Arial"/>
          <w:color w:val="333333"/>
          <w:spacing w:val="8"/>
          <w:sz w:val="21"/>
          <w:szCs w:val="21"/>
        </w:rPr>
        <w:t>10</w:t>
      </w:r>
      <w:r>
        <w:rPr>
          <w:rFonts w:hint="eastAsia" w:ascii="微软雅黑" w:hAnsi="微软雅黑" w:eastAsia="微软雅黑"/>
          <w:color w:val="333333"/>
          <w:spacing w:val="8"/>
          <w:sz w:val="21"/>
          <w:szCs w:val="21"/>
        </w:rPr>
        <w:t>万元以下的罚款；情节严重的，给予施工单位限制承接新工程、降低资质等级、吊销资质证书等处罚：</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（一）施工总承包单位未按规定开设或者使用农民工工资专用账户；</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（二）施工总承包单位未按规定存储工资保证金或者未提供金融机构保函；</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（三）施工总承包单位、分包单位未实行劳动用工实名制管理。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第五十六条　有下列情形之一的，由人力资源社会保障行政部门、相关行业工程建设主管部门按照职责责令限期改正；逾期不改正的，处</w:t>
      </w:r>
      <w:r>
        <w:rPr>
          <w:rFonts w:ascii="Arial" w:hAnsi="Arial" w:eastAsia="微软雅黑" w:cs="Arial"/>
          <w:color w:val="333333"/>
          <w:spacing w:val="8"/>
          <w:sz w:val="21"/>
          <w:szCs w:val="21"/>
        </w:rPr>
        <w:t>5</w:t>
      </w:r>
      <w:r>
        <w:rPr>
          <w:rFonts w:hint="eastAsia" w:ascii="微软雅黑" w:hAnsi="微软雅黑" w:eastAsia="微软雅黑"/>
          <w:color w:val="333333"/>
          <w:spacing w:val="8"/>
          <w:sz w:val="21"/>
          <w:szCs w:val="21"/>
        </w:rPr>
        <w:t>万元以上</w:t>
      </w:r>
      <w:r>
        <w:rPr>
          <w:rFonts w:ascii="Arial" w:hAnsi="Arial" w:eastAsia="微软雅黑" w:cs="Arial"/>
          <w:color w:val="333333"/>
          <w:spacing w:val="8"/>
          <w:sz w:val="21"/>
          <w:szCs w:val="21"/>
        </w:rPr>
        <w:t>10</w:t>
      </w:r>
      <w:r>
        <w:rPr>
          <w:rFonts w:hint="eastAsia" w:ascii="微软雅黑" w:hAnsi="微软雅黑" w:eastAsia="微软雅黑"/>
          <w:color w:val="333333"/>
          <w:spacing w:val="8"/>
          <w:sz w:val="21"/>
          <w:szCs w:val="21"/>
        </w:rPr>
        <w:t>万元以下的罚款：</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（一）分包单位未按月考核农民工工作量、编制工资支付表并经农民工本人签字确认；</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（二）施工总承包单位未对分包单位劳动用工实施监督管理；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（三）分包单位未配合施工总承包单位对其劳动用工进行监督管理；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（四）施工总承包单位未实行施工现场维权信息公示制度。</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第五十七条　有下列情形之一的，由人力资源社会保障行政部门、相关行业工程建设主管部门按照职责责令限期改正；逾期不改正的，责令项目停工，并处</w:t>
      </w:r>
      <w:r>
        <w:rPr>
          <w:rFonts w:ascii="Arial" w:hAnsi="Arial" w:eastAsia="微软雅黑" w:cs="Arial"/>
          <w:color w:val="333333"/>
          <w:spacing w:val="8"/>
          <w:sz w:val="21"/>
          <w:szCs w:val="21"/>
        </w:rPr>
        <w:t>5</w:t>
      </w:r>
      <w:r>
        <w:rPr>
          <w:rFonts w:hint="eastAsia" w:ascii="微软雅黑" w:hAnsi="微软雅黑" w:eastAsia="微软雅黑"/>
          <w:color w:val="333333"/>
          <w:spacing w:val="8"/>
          <w:sz w:val="21"/>
          <w:szCs w:val="21"/>
        </w:rPr>
        <w:t>万元以上</w:t>
      </w:r>
      <w:r>
        <w:rPr>
          <w:rFonts w:ascii="Arial" w:hAnsi="Arial" w:eastAsia="微软雅黑" w:cs="Arial"/>
          <w:color w:val="333333"/>
          <w:spacing w:val="8"/>
          <w:sz w:val="21"/>
          <w:szCs w:val="21"/>
        </w:rPr>
        <w:t>10</w:t>
      </w:r>
      <w:r>
        <w:rPr>
          <w:rFonts w:hint="eastAsia" w:ascii="微软雅黑" w:hAnsi="微软雅黑" w:eastAsia="微软雅黑"/>
          <w:color w:val="333333"/>
          <w:spacing w:val="8"/>
          <w:sz w:val="21"/>
          <w:szCs w:val="21"/>
        </w:rPr>
        <w:t>万元以下的罚款：</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（一）建设单位未依法提供工程款支付担保；</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（二）建设单位未按约定及时足额向农民工工资专用账户拨付工程款中的人工费用；</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（三）建设单位或者施工总承包单位拒不提供或者无法提供工程施工合同、农民工工资专用账户有关资料。</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第五十八条　不依法配合人力资源社会保障行政部门查询相关单位金融账户的，由金融监管部门责令改正；拒不改正的，处</w:t>
      </w:r>
      <w:r>
        <w:rPr>
          <w:rFonts w:ascii="Arial" w:hAnsi="Arial" w:eastAsia="微软雅黑" w:cs="Arial"/>
          <w:color w:val="333333"/>
          <w:spacing w:val="8"/>
          <w:sz w:val="21"/>
          <w:szCs w:val="21"/>
        </w:rPr>
        <w:t>2</w:t>
      </w:r>
      <w:r>
        <w:rPr>
          <w:rFonts w:hint="eastAsia" w:ascii="微软雅黑" w:hAnsi="微软雅黑" w:eastAsia="微软雅黑"/>
          <w:color w:val="333333"/>
          <w:spacing w:val="8"/>
          <w:sz w:val="21"/>
          <w:szCs w:val="21"/>
        </w:rPr>
        <w:t>万元以上</w:t>
      </w:r>
      <w:r>
        <w:rPr>
          <w:rFonts w:ascii="Arial" w:hAnsi="Arial" w:eastAsia="微软雅黑" w:cs="Arial"/>
          <w:color w:val="333333"/>
          <w:spacing w:val="8"/>
          <w:sz w:val="21"/>
          <w:szCs w:val="21"/>
        </w:rPr>
        <w:t>5</w:t>
      </w:r>
      <w:r>
        <w:rPr>
          <w:rFonts w:hint="eastAsia" w:ascii="微软雅黑" w:hAnsi="微软雅黑" w:eastAsia="微软雅黑"/>
          <w:color w:val="333333"/>
          <w:spacing w:val="8"/>
          <w:sz w:val="21"/>
          <w:szCs w:val="21"/>
        </w:rPr>
        <w:t>万元以下的罚款。</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第五十九条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第六十条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pPr>
        <w:pStyle w:val="2"/>
        <w:shd w:val="clear" w:color="auto" w:fill="FFFFFF"/>
        <w:spacing w:before="0" w:beforeAutospacing="0" w:after="0" w:afterAutospacing="0" w:line="360" w:lineRule="atLeast"/>
        <w:jc w:val="center"/>
        <w:rPr>
          <w:rFonts w:hint="eastAsia" w:ascii="黑体" w:hAnsi="黑体" w:eastAsia="黑体" w:cs="黑体"/>
          <w:b/>
          <w:bCs/>
          <w:color w:val="333333"/>
          <w:spacing w:val="8"/>
          <w:sz w:val="21"/>
          <w:szCs w:val="21"/>
        </w:rPr>
      </w:pPr>
      <w:r>
        <w:rPr>
          <w:rFonts w:hint="eastAsia" w:ascii="黑体" w:hAnsi="黑体" w:eastAsia="黑体" w:cs="黑体"/>
          <w:b/>
          <w:bCs/>
          <w:color w:val="333333"/>
          <w:spacing w:val="8"/>
          <w:sz w:val="21"/>
          <w:szCs w:val="21"/>
        </w:rPr>
        <w:t>第七章　附　则</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333333"/>
          <w:spacing w:val="8"/>
          <w:sz w:val="26"/>
          <w:szCs w:val="26"/>
        </w:rPr>
      </w:pPr>
      <w:r>
        <w:rPr>
          <w:rFonts w:hint="eastAsia" w:ascii="微软雅黑" w:hAnsi="微软雅黑" w:eastAsia="微软雅黑"/>
          <w:color w:val="333333"/>
          <w:spacing w:val="8"/>
          <w:sz w:val="21"/>
          <w:szCs w:val="21"/>
        </w:rPr>
        <w:t>第六十四条　本条例自</w:t>
      </w:r>
      <w:r>
        <w:rPr>
          <w:rFonts w:ascii="Arial" w:hAnsi="Arial" w:eastAsia="微软雅黑" w:cs="Arial"/>
          <w:color w:val="333333"/>
          <w:spacing w:val="8"/>
          <w:sz w:val="21"/>
          <w:szCs w:val="21"/>
        </w:rPr>
        <w:t>2020</w:t>
      </w:r>
      <w:r>
        <w:rPr>
          <w:rFonts w:hint="eastAsia" w:ascii="微软雅黑" w:hAnsi="微软雅黑" w:eastAsia="微软雅黑"/>
          <w:color w:val="333333"/>
          <w:spacing w:val="8"/>
          <w:sz w:val="21"/>
          <w:szCs w:val="21"/>
        </w:rPr>
        <w:t>年</w:t>
      </w:r>
      <w:r>
        <w:rPr>
          <w:rFonts w:ascii="Arial" w:hAnsi="Arial" w:eastAsia="微软雅黑" w:cs="Arial"/>
          <w:color w:val="333333"/>
          <w:spacing w:val="8"/>
          <w:sz w:val="21"/>
          <w:szCs w:val="21"/>
        </w:rPr>
        <w:t>5</w:t>
      </w:r>
      <w:r>
        <w:rPr>
          <w:rFonts w:hint="eastAsia" w:ascii="微软雅黑" w:hAnsi="微软雅黑" w:eastAsia="微软雅黑"/>
          <w:color w:val="333333"/>
          <w:spacing w:val="8"/>
          <w:sz w:val="21"/>
          <w:szCs w:val="21"/>
        </w:rPr>
        <w:t>月</w:t>
      </w:r>
      <w:r>
        <w:rPr>
          <w:rFonts w:ascii="Arial" w:hAnsi="Arial" w:eastAsia="微软雅黑" w:cs="Arial"/>
          <w:color w:val="333333"/>
          <w:spacing w:val="8"/>
          <w:sz w:val="21"/>
          <w:szCs w:val="21"/>
        </w:rPr>
        <w:t>1</w:t>
      </w:r>
      <w:r>
        <w:rPr>
          <w:rFonts w:hint="eastAsia" w:ascii="微软雅黑" w:hAnsi="微软雅黑" w:eastAsia="微软雅黑"/>
          <w:color w:val="333333"/>
          <w:spacing w:val="8"/>
          <w:sz w:val="21"/>
          <w:szCs w:val="21"/>
        </w:rPr>
        <w:t>日起施行。</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023AB"/>
    <w:rsid w:val="00426133"/>
    <w:rsid w:val="004358AB"/>
    <w:rsid w:val="008B7726"/>
    <w:rsid w:val="00D31D50"/>
    <w:rsid w:val="00FC1399"/>
    <w:rsid w:val="038E290A"/>
    <w:rsid w:val="7F7F4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1195</Words>
  <Characters>6813</Characters>
  <Lines>56</Lines>
  <Paragraphs>15</Paragraphs>
  <TotalTime>11</TotalTime>
  <ScaleCrop>false</ScaleCrop>
  <LinksUpToDate>false</LinksUpToDate>
  <CharactersWithSpaces>7993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2020-04-01T03:48:00Z</dcterms:created>
  <dc:creator>同德人力资源市场</dc:creator>
  <cp:lastModifiedBy>Administrator</cp:lastModifiedBy>
  <dcterms:modified xsi:type="dcterms:W3CDTF">2020-04-02T01:06:37Z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